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ED6C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52881FB9" w14:textId="3A8B8F53" w:rsidR="00B74CB0" w:rsidRPr="00B74CB0" w:rsidRDefault="00B73F68" w:rsidP="00B74CB0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B73F68">
        <w:rPr>
          <w:rFonts w:asciiTheme="minorHAnsi" w:hAnsiTheme="minorHAnsi" w:cstheme="minorHAnsi"/>
          <w:color w:val="auto"/>
          <w:spacing w:val="10"/>
          <w:sz w:val="26"/>
          <w:szCs w:val="26"/>
        </w:rPr>
        <w:t>Hrvatska elektroprivreda ponovno ima investicijski kreditni rejting</w:t>
      </w:r>
    </w:p>
    <w:p w14:paraId="048B0040" w14:textId="77777777" w:rsidR="00D10D3C" w:rsidRPr="00B46F5A" w:rsidRDefault="00D10D3C" w:rsidP="00CC6740">
      <w:pPr>
        <w:pStyle w:val="ListParagraph"/>
        <w:ind w:left="714"/>
        <w:contextualSpacing w:val="0"/>
        <w:jc w:val="both"/>
        <w:rPr>
          <w:rFonts w:asciiTheme="minorHAnsi" w:hAnsiTheme="minorHAnsi" w:cstheme="minorHAnsi"/>
          <w:color w:val="auto"/>
          <w:spacing w:val="10"/>
          <w:sz w:val="14"/>
          <w:szCs w:val="14"/>
        </w:rPr>
      </w:pPr>
    </w:p>
    <w:p w14:paraId="7362A561" w14:textId="00143A73" w:rsidR="000614A7" w:rsidRPr="000614A7" w:rsidRDefault="00B74CB0" w:rsidP="000614A7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ZAGREB</w:t>
      </w:r>
      <w:r w:rsidR="00E54177" w:rsidRPr="004B4D84">
        <w:rPr>
          <w:rFonts w:asciiTheme="minorHAnsi" w:hAnsiTheme="minorHAnsi" w:cstheme="minorHAnsi"/>
          <w:b w:val="0"/>
          <w:color w:val="auto"/>
        </w:rPr>
        <w:t>,</w:t>
      </w:r>
      <w:r w:rsidR="00106391">
        <w:rPr>
          <w:rFonts w:asciiTheme="minorHAnsi" w:hAnsiTheme="minorHAnsi" w:cstheme="minorHAnsi"/>
          <w:b w:val="0"/>
          <w:color w:val="auto"/>
        </w:rPr>
        <w:t xml:space="preserve"> </w:t>
      </w:r>
      <w:r w:rsidR="007A305E">
        <w:rPr>
          <w:rFonts w:asciiTheme="minorHAnsi" w:hAnsiTheme="minorHAnsi" w:cstheme="minorHAnsi"/>
          <w:b w:val="0"/>
          <w:color w:val="auto"/>
        </w:rPr>
        <w:t>6</w:t>
      </w:r>
      <w:r w:rsidR="005B2896" w:rsidRPr="004B4D84">
        <w:rPr>
          <w:rFonts w:asciiTheme="minorHAnsi" w:hAnsiTheme="minorHAnsi" w:cstheme="minorHAnsi"/>
          <w:b w:val="0"/>
          <w:color w:val="auto"/>
        </w:rPr>
        <w:t>.</w:t>
      </w:r>
      <w:r w:rsidR="0098141C">
        <w:rPr>
          <w:rFonts w:asciiTheme="minorHAnsi" w:hAnsiTheme="minorHAnsi" w:cstheme="minorHAnsi"/>
          <w:b w:val="0"/>
          <w:color w:val="auto"/>
        </w:rPr>
        <w:t xml:space="preserve"> </w:t>
      </w:r>
      <w:r w:rsidR="00B73F68">
        <w:rPr>
          <w:rFonts w:asciiTheme="minorHAnsi" w:hAnsiTheme="minorHAnsi" w:cstheme="minorHAnsi"/>
          <w:b w:val="0"/>
          <w:color w:val="auto"/>
        </w:rPr>
        <w:t>listopada</w:t>
      </w:r>
      <w:r w:rsidR="005B2896" w:rsidRPr="004B4D84">
        <w:rPr>
          <w:rFonts w:asciiTheme="minorHAnsi" w:hAnsiTheme="minorHAnsi" w:cstheme="minorHAnsi"/>
          <w:b w:val="0"/>
          <w:color w:val="auto"/>
        </w:rPr>
        <w:t xml:space="preserve"> 20</w:t>
      </w:r>
      <w:r w:rsidR="00B73F68">
        <w:rPr>
          <w:rFonts w:asciiTheme="minorHAnsi" w:hAnsiTheme="minorHAnsi" w:cstheme="minorHAnsi"/>
          <w:b w:val="0"/>
          <w:color w:val="auto"/>
        </w:rPr>
        <w:t>21</w:t>
      </w:r>
      <w:r w:rsidR="00B27590" w:rsidRPr="004B4D84">
        <w:rPr>
          <w:rFonts w:asciiTheme="minorHAnsi" w:hAnsiTheme="minorHAnsi" w:cstheme="minorHAnsi"/>
          <w:b w:val="0"/>
          <w:color w:val="auto"/>
        </w:rPr>
        <w:t xml:space="preserve">. </w:t>
      </w:r>
      <w:r w:rsidR="00800095" w:rsidRPr="004B4D84">
        <w:rPr>
          <w:rFonts w:asciiTheme="minorHAnsi" w:hAnsiTheme="minorHAnsi" w:cstheme="minorHAnsi"/>
          <w:b w:val="0"/>
          <w:color w:val="auto"/>
        </w:rPr>
        <w:t>–</w:t>
      </w:r>
      <w:r w:rsidR="000614A7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B73F68" w:rsidRPr="00B73F68">
        <w:rPr>
          <w:rFonts w:asciiTheme="minorHAnsi" w:hAnsiTheme="minorHAnsi" w:cstheme="minorHAnsi"/>
          <w:color w:val="auto"/>
        </w:rPr>
        <w:t>Rejtinška</w:t>
      </w:r>
      <w:proofErr w:type="spellEnd"/>
      <w:r w:rsidR="00B73F68" w:rsidRPr="00B73F68">
        <w:rPr>
          <w:rFonts w:asciiTheme="minorHAnsi" w:hAnsiTheme="minorHAnsi" w:cstheme="minorHAnsi"/>
          <w:color w:val="auto"/>
        </w:rPr>
        <w:t xml:space="preserve"> agencija Standard&amp;</w:t>
      </w:r>
      <w:proofErr w:type="spellStart"/>
      <w:r w:rsidR="00B73F68" w:rsidRPr="00B73F68">
        <w:rPr>
          <w:rFonts w:asciiTheme="minorHAnsi" w:hAnsiTheme="minorHAnsi" w:cstheme="minorHAnsi"/>
          <w:color w:val="auto"/>
        </w:rPr>
        <w:t>Poor</w:t>
      </w:r>
      <w:proofErr w:type="spellEnd"/>
      <w:r w:rsidR="00B73F68" w:rsidRPr="00B73F68">
        <w:rPr>
          <w:rFonts w:asciiTheme="minorHAnsi" w:hAnsiTheme="minorHAnsi" w:cstheme="minorHAnsi"/>
          <w:color w:val="auto"/>
        </w:rPr>
        <w:t xml:space="preserve">’s (S&amp;P) podigla je ocjenu kreditnog rejtinga Hrvatske </w:t>
      </w:r>
      <w:r w:rsidR="00B73F68">
        <w:rPr>
          <w:rFonts w:asciiTheme="minorHAnsi" w:hAnsiTheme="minorHAnsi" w:cstheme="minorHAnsi"/>
          <w:color w:val="auto"/>
        </w:rPr>
        <w:t xml:space="preserve">elektroprivrede s BB+ na BBB-. </w:t>
      </w:r>
      <w:r w:rsidR="00B73F68" w:rsidRPr="00B73F68">
        <w:rPr>
          <w:rFonts w:asciiTheme="minorHAnsi" w:hAnsiTheme="minorHAnsi" w:cstheme="minorHAnsi"/>
          <w:color w:val="auto"/>
        </w:rPr>
        <w:t>Ocjena rejtinga je izjednačena s ocjenom kreditnog rejtinga Republike Hrvatske te je prvi put nakon 2009. vraćena na investicijsku razinu.</w:t>
      </w:r>
    </w:p>
    <w:p w14:paraId="3FD3E41F" w14:textId="77777777" w:rsidR="00B73F68" w:rsidRPr="00B73F68" w:rsidRDefault="00B73F68" w:rsidP="00B73F68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B73F68">
        <w:rPr>
          <w:rFonts w:asciiTheme="minorHAnsi" w:hAnsiTheme="minorHAnsi" w:cstheme="minorHAnsi"/>
          <w:b w:val="0"/>
          <w:color w:val="auto"/>
        </w:rPr>
        <w:t xml:space="preserve">U izvješću agencije navodi se da rast rejtinga odražava uspješnost HEP-a u pogledu čvrstih kreditnih pokazatelja u okolnostima promjenjivih hidroloških uvjeta i cijena energenata. Prema analitičarima agencije S&amp;P, to je rezultat postupne evolucije HEP-a prema tržišno orijentiranoj tvrtci s fleksibilnijom strukturom troškova. Agencija također navodi da HEP pokazuje da je u odnosu na stanje zabilježeno u prethodnoj ocjeni sposoban učinkovitije i sve robusnije upravljati izloženošću cijenama energenata i nižom implicitnom </w:t>
      </w:r>
      <w:proofErr w:type="spellStart"/>
      <w:r w:rsidRPr="00B73F68">
        <w:rPr>
          <w:rFonts w:asciiTheme="minorHAnsi" w:hAnsiTheme="minorHAnsi" w:cstheme="minorHAnsi"/>
          <w:b w:val="0"/>
          <w:color w:val="auto"/>
        </w:rPr>
        <w:t>volatilnošću</w:t>
      </w:r>
      <w:proofErr w:type="spellEnd"/>
      <w:r w:rsidRPr="00B73F68">
        <w:rPr>
          <w:rFonts w:asciiTheme="minorHAnsi" w:hAnsiTheme="minorHAnsi" w:cstheme="minorHAnsi"/>
          <w:b w:val="0"/>
          <w:color w:val="auto"/>
        </w:rPr>
        <w:t>. Ostvareni vrlo dobri rezultati dokaz su zalaganja tvrtke za zadržavanje financijske snage, zaključuje se u izvješću.</w:t>
      </w:r>
    </w:p>
    <w:p w14:paraId="2556DA9B" w14:textId="65A95557" w:rsidR="00B73F68" w:rsidRDefault="00B73F68" w:rsidP="00B73F68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B73F68">
        <w:rPr>
          <w:rFonts w:asciiTheme="minorHAnsi" w:hAnsiTheme="minorHAnsi" w:cstheme="minorHAnsi"/>
          <w:b w:val="0"/>
          <w:color w:val="auto"/>
        </w:rPr>
        <w:t>„</w:t>
      </w:r>
      <w:r w:rsidRPr="00B73F68">
        <w:rPr>
          <w:rFonts w:asciiTheme="minorHAnsi" w:hAnsiTheme="minorHAnsi" w:cstheme="minorHAnsi"/>
          <w:b w:val="0"/>
          <w:i/>
          <w:color w:val="auto"/>
        </w:rPr>
        <w:t>S velikim zadovoljstvom i ponosom primili smo najnovije izvješće agencije Standard&amp;</w:t>
      </w:r>
      <w:proofErr w:type="spellStart"/>
      <w:r w:rsidRPr="00B73F68">
        <w:rPr>
          <w:rFonts w:asciiTheme="minorHAnsi" w:hAnsiTheme="minorHAnsi" w:cstheme="minorHAnsi"/>
          <w:b w:val="0"/>
          <w:i/>
          <w:color w:val="auto"/>
        </w:rPr>
        <w:t>Poor</w:t>
      </w:r>
      <w:proofErr w:type="spellEnd"/>
      <w:r w:rsidRPr="00B73F68">
        <w:rPr>
          <w:rFonts w:asciiTheme="minorHAnsi" w:hAnsiTheme="minorHAnsi" w:cstheme="minorHAnsi"/>
          <w:b w:val="0"/>
          <w:i/>
          <w:color w:val="auto"/>
        </w:rPr>
        <w:t xml:space="preserve">’s kojim je Hrvatska elektroprivreda vraćena u globalno društvo kompanija s investicijskim kreditnim rejtingom. Ovime su prepoznati naši kontinuirani napori na poboljšanju upravljanja rizicima i ukupnim financijskim položajem i to u zahtjevnim okolnostima </w:t>
      </w:r>
      <w:proofErr w:type="spellStart"/>
      <w:r w:rsidRPr="00B73F68">
        <w:rPr>
          <w:rFonts w:asciiTheme="minorHAnsi" w:hAnsiTheme="minorHAnsi" w:cstheme="minorHAnsi"/>
          <w:b w:val="0"/>
          <w:i/>
          <w:color w:val="auto"/>
        </w:rPr>
        <w:t>pandemije</w:t>
      </w:r>
      <w:proofErr w:type="spellEnd"/>
      <w:r w:rsidRPr="00B73F68">
        <w:rPr>
          <w:rFonts w:asciiTheme="minorHAnsi" w:hAnsiTheme="minorHAnsi" w:cstheme="minorHAnsi"/>
          <w:b w:val="0"/>
          <w:i/>
          <w:color w:val="auto"/>
        </w:rPr>
        <w:t xml:space="preserve"> </w:t>
      </w:r>
      <w:proofErr w:type="spellStart"/>
      <w:r w:rsidRPr="00B73F68">
        <w:rPr>
          <w:rFonts w:asciiTheme="minorHAnsi" w:hAnsiTheme="minorHAnsi" w:cstheme="minorHAnsi"/>
          <w:b w:val="0"/>
          <w:i/>
          <w:color w:val="auto"/>
        </w:rPr>
        <w:t>koronavirusa</w:t>
      </w:r>
      <w:proofErr w:type="spellEnd"/>
      <w:r w:rsidRPr="00B73F68">
        <w:rPr>
          <w:rFonts w:asciiTheme="minorHAnsi" w:hAnsiTheme="minorHAnsi" w:cstheme="minorHAnsi"/>
          <w:b w:val="0"/>
          <w:color w:val="auto"/>
        </w:rPr>
        <w:t>”, izjavio je Frane Barbarić, predsjednik Uprave Hrvatske elektroprivrede d.d. i podsjetio da je HEP zahvaljujući vrlo dobrim poslovnim rezultatima u 2020. godini, početkom rujna u Državni proračun uplatio dio dobiti u iznosu od 840,6 milijuna kuna te da je nastavio uspješno poslovati i u ovoj godini, jer je u prvih šest mjeseci ostvario konsolidiranu neto dobit od 1,25 milijardi kuna, što je 291 milijun kuna više u odnosu na prvo polugodište prošle godine.</w:t>
      </w:r>
      <w:r w:rsidR="00961E8F">
        <w:rPr>
          <w:rFonts w:asciiTheme="minorHAnsi" w:hAnsiTheme="minorHAnsi" w:cstheme="minorHAnsi"/>
          <w:b w:val="0"/>
          <w:color w:val="auto"/>
        </w:rPr>
        <w:t xml:space="preserve"> </w:t>
      </w:r>
      <w:r w:rsidRPr="00B73F68">
        <w:rPr>
          <w:rFonts w:asciiTheme="minorHAnsi" w:hAnsiTheme="minorHAnsi" w:cstheme="minorHAnsi"/>
          <w:b w:val="0"/>
          <w:color w:val="auto"/>
        </w:rPr>
        <w:t xml:space="preserve"> “</w:t>
      </w:r>
      <w:r w:rsidRPr="00B73F68">
        <w:rPr>
          <w:rFonts w:asciiTheme="minorHAnsi" w:hAnsiTheme="minorHAnsi" w:cstheme="minorHAnsi"/>
          <w:b w:val="0"/>
          <w:i/>
          <w:color w:val="auto"/>
        </w:rPr>
        <w:t xml:space="preserve">Investicijski kreditni rejting dat će nam vjetar u leđa kad je riječ o realizaciji naših ambicioznih investicijskih planova u idućem razdoblju fokusiranih na ostvarenje obnovljivog </w:t>
      </w:r>
      <w:proofErr w:type="spellStart"/>
      <w:r w:rsidRPr="00B73F68">
        <w:rPr>
          <w:rFonts w:asciiTheme="minorHAnsi" w:hAnsiTheme="minorHAnsi" w:cstheme="minorHAnsi"/>
          <w:b w:val="0"/>
          <w:i/>
          <w:color w:val="auto"/>
        </w:rPr>
        <w:t>niskougljičnog</w:t>
      </w:r>
      <w:proofErr w:type="spellEnd"/>
      <w:r w:rsidRPr="00B73F68">
        <w:rPr>
          <w:rFonts w:asciiTheme="minorHAnsi" w:hAnsiTheme="minorHAnsi" w:cstheme="minorHAnsi"/>
          <w:b w:val="0"/>
          <w:i/>
          <w:color w:val="auto"/>
        </w:rPr>
        <w:t xml:space="preserve"> scenarija razvoja i pružanje potpore Vladi Republike Hrvatske u aktivnostima koje provodi s ciljem oporavka i rasta hrvatskog gospodarstva</w:t>
      </w:r>
      <w:r w:rsidRPr="00B73F68">
        <w:rPr>
          <w:rFonts w:asciiTheme="minorHAnsi" w:hAnsiTheme="minorHAnsi" w:cstheme="minorHAnsi"/>
          <w:b w:val="0"/>
          <w:color w:val="auto"/>
        </w:rPr>
        <w:t>”, zaključio je Barbarić.</w:t>
      </w:r>
    </w:p>
    <w:p w14:paraId="20B57FC7" w14:textId="77777777" w:rsidR="00CC6740" w:rsidRDefault="00CC6740" w:rsidP="00B46F5A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14:paraId="15006C2F" w14:textId="77777777" w:rsidR="002F0EEC" w:rsidRDefault="002F0EE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4C42FEAC" w14:textId="5A5765EC" w:rsidR="002F0EEC" w:rsidRPr="00D2182D" w:rsidRDefault="002F0EE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 wp14:anchorId="4E2BD58B" wp14:editId="46EF031E">
            <wp:extent cx="11915775" cy="7753350"/>
            <wp:effectExtent l="0" t="0" r="9525" b="0"/>
            <wp:docPr id="1" name="Picture 1" descr="C:\Users\lkopjar1\AppData\Local\Microsoft\Windows\Temporary Internet Files\Content.Word\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HE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7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EEC" w:rsidRPr="00D2182D" w:rsidSect="00CC6740">
      <w:headerReference w:type="default" r:id="rId11"/>
      <w:footerReference w:type="default" r:id="rId12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EAEB" w14:textId="77777777" w:rsidR="008124FF" w:rsidRDefault="008124FF" w:rsidP="004E7467">
      <w:r>
        <w:separator/>
      </w:r>
    </w:p>
  </w:endnote>
  <w:endnote w:type="continuationSeparator" w:id="0">
    <w:p w14:paraId="1FFEE401" w14:textId="77777777" w:rsidR="008124FF" w:rsidRDefault="008124FF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7E2F" w14:textId="77777777" w:rsidR="008124FF" w:rsidRDefault="008124FF" w:rsidP="004E7467">
      <w:r>
        <w:separator/>
      </w:r>
    </w:p>
  </w:footnote>
  <w:footnote w:type="continuationSeparator" w:id="0">
    <w:p w14:paraId="53F3BCAA" w14:textId="77777777" w:rsidR="008124FF" w:rsidRDefault="008124FF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49C0AFE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F1EDF5A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5568"/>
    <w:rsid w:val="000C2069"/>
    <w:rsid w:val="000D322A"/>
    <w:rsid w:val="000E0666"/>
    <w:rsid w:val="000E765F"/>
    <w:rsid w:val="000F3E38"/>
    <w:rsid w:val="001001FA"/>
    <w:rsid w:val="001035B6"/>
    <w:rsid w:val="001035C3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E24B9"/>
    <w:rsid w:val="002E2E77"/>
    <w:rsid w:val="002E61AF"/>
    <w:rsid w:val="002F0EEC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A305E"/>
    <w:rsid w:val="007B57FA"/>
    <w:rsid w:val="007C4807"/>
    <w:rsid w:val="007D4121"/>
    <w:rsid w:val="007D4BEB"/>
    <w:rsid w:val="007D7FE9"/>
    <w:rsid w:val="007F53E6"/>
    <w:rsid w:val="00800095"/>
    <w:rsid w:val="0081058B"/>
    <w:rsid w:val="008124FF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1E8F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3F68"/>
    <w:rsid w:val="00B74CB0"/>
    <w:rsid w:val="00B81C5E"/>
    <w:rsid w:val="00B852C7"/>
    <w:rsid w:val="00B8694C"/>
    <w:rsid w:val="00B90635"/>
    <w:rsid w:val="00BB20E8"/>
    <w:rsid w:val="00BB26BC"/>
    <w:rsid w:val="00BB2AC8"/>
    <w:rsid w:val="00BB7CE4"/>
    <w:rsid w:val="00BC16F3"/>
    <w:rsid w:val="00BD509B"/>
    <w:rsid w:val="00BD5C8D"/>
    <w:rsid w:val="00BE1A4A"/>
    <w:rsid w:val="00BF01C4"/>
    <w:rsid w:val="00BF0215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4747"/>
    <w:rsid w:val="00E95B78"/>
    <w:rsid w:val="00E96BC7"/>
    <w:rsid w:val="00EB11AE"/>
    <w:rsid w:val="00EB5E52"/>
    <w:rsid w:val="00EC43C2"/>
    <w:rsid w:val="00EC6E89"/>
    <w:rsid w:val="00ED7EA8"/>
    <w:rsid w:val="00F15246"/>
    <w:rsid w:val="00F21C4C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C286-C094-4D92-B281-5753451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2019-10-04T10:35:00Z</cp:lastPrinted>
  <dcterms:created xsi:type="dcterms:W3CDTF">2021-10-06T06:38:00Z</dcterms:created>
  <dcterms:modified xsi:type="dcterms:W3CDTF">2021-10-06T07:34:00Z</dcterms:modified>
</cp:coreProperties>
</file>